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DC2FA0">
        <w:rPr>
          <w:sz w:val="28"/>
        </w:rPr>
        <w:t>Wettkampf wählen</w:t>
      </w:r>
    </w:p>
    <w:p w:rsidR="00694A63" w:rsidRPr="00694A63" w:rsidRDefault="00694A63">
      <w:pPr>
        <w:pStyle w:val="IQB-Teilaufgabentitel"/>
        <w:rPr>
          <w:b/>
        </w:rPr>
      </w:pPr>
      <w:r w:rsidRPr="00694A63">
        <w:rPr>
          <w:b/>
        </w:rPr>
        <w:t>Merkmal</w:t>
      </w:r>
      <w:r w:rsidR="00220FFD">
        <w:rPr>
          <w:b/>
        </w:rPr>
        <w:t>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DC2FA0" w:rsidTr="00DC2FA0">
        <w:tc>
          <w:tcPr>
            <w:tcW w:w="2466" w:type="dxa"/>
            <w:tcBorders>
              <w:top w:val="single" w:sz="4" w:space="0" w:color="auto"/>
            </w:tcBorders>
            <w:vAlign w:val="center"/>
          </w:tcPr>
          <w:p w:rsidR="00DC2FA0" w:rsidRDefault="00DC2FA0" w:rsidP="00337876">
            <w:pPr>
              <w:pStyle w:val="IQB-Merkmal"/>
            </w:pPr>
            <w:r>
              <w:t>Leitidee</w:t>
            </w:r>
          </w:p>
        </w:tc>
        <w:tc>
          <w:tcPr>
            <w:tcW w:w="6604" w:type="dxa"/>
            <w:tcBorders>
              <w:top w:val="single" w:sz="4" w:space="0" w:color="auto"/>
            </w:tcBorders>
          </w:tcPr>
          <w:p w:rsidR="00DC2FA0" w:rsidRDefault="00DC2FA0" w:rsidP="00337876">
            <w:pPr>
              <w:pStyle w:val="IQB-Merkmalswert"/>
            </w:pPr>
            <w:r>
              <w:t>5. Daten und Zufall</w:t>
            </w:r>
          </w:p>
        </w:tc>
      </w:tr>
      <w:tr w:rsidR="00DC2FA0" w:rsidTr="00DC2FA0">
        <w:tc>
          <w:tcPr>
            <w:tcW w:w="2466" w:type="dxa"/>
            <w:vAlign w:val="center"/>
          </w:tcPr>
          <w:p w:rsidR="00DC2FA0" w:rsidRDefault="00DC2FA0" w:rsidP="00337876">
            <w:pPr>
              <w:pStyle w:val="IQB-Merkmal"/>
            </w:pPr>
            <w:r>
              <w:t>Allgemeine Kompetenz</w:t>
            </w:r>
          </w:p>
        </w:tc>
        <w:tc>
          <w:tcPr>
            <w:tcW w:w="6604" w:type="dxa"/>
          </w:tcPr>
          <w:p w:rsidR="00DC2FA0" w:rsidRDefault="00DC2FA0" w:rsidP="00337876">
            <w:pPr>
              <w:pStyle w:val="IQB-Merkmalswert"/>
            </w:pPr>
            <w:r>
              <w:t>Mathematische Darstellungen verwenden (K4),</w:t>
            </w:r>
          </w:p>
          <w:p w:rsidR="00DC2FA0" w:rsidRDefault="00DC2FA0" w:rsidP="00337876">
            <w:pPr>
              <w:pStyle w:val="IQB-Merkmalswert"/>
            </w:pPr>
            <w:r>
              <w:t>Mit Mathematik symbolisch/ formal/ technisch umgehen (K5)</w:t>
            </w:r>
          </w:p>
        </w:tc>
      </w:tr>
      <w:tr w:rsidR="00DC2FA0" w:rsidTr="00DC2FA0">
        <w:tc>
          <w:tcPr>
            <w:tcW w:w="2466" w:type="dxa"/>
            <w:vAlign w:val="center"/>
          </w:tcPr>
          <w:p w:rsidR="00DC2FA0" w:rsidRDefault="00DC2FA0" w:rsidP="00337876">
            <w:pPr>
              <w:pStyle w:val="IQB-Merkmal"/>
            </w:pPr>
            <w:r>
              <w:t>Anforderungsbereich</w:t>
            </w:r>
          </w:p>
        </w:tc>
        <w:tc>
          <w:tcPr>
            <w:tcW w:w="6604" w:type="dxa"/>
          </w:tcPr>
          <w:p w:rsidR="00DC2FA0" w:rsidRDefault="00DC2FA0" w:rsidP="00337876">
            <w:pPr>
              <w:pStyle w:val="IQB-Merkmalswert"/>
            </w:pPr>
            <w:r>
              <w:t>I</w:t>
            </w:r>
          </w:p>
        </w:tc>
      </w:tr>
      <w:tr w:rsidR="00DC2FA0" w:rsidTr="00DC2FA0">
        <w:tc>
          <w:tcPr>
            <w:tcW w:w="2466" w:type="dxa"/>
            <w:tcBorders>
              <w:bottom w:val="single" w:sz="4" w:space="0" w:color="auto"/>
            </w:tcBorders>
            <w:vAlign w:val="center"/>
          </w:tcPr>
          <w:p w:rsidR="00DC2FA0" w:rsidRDefault="00DC2FA0" w:rsidP="00337876">
            <w:pPr>
              <w:pStyle w:val="IQB-Merkmal"/>
            </w:pPr>
            <w:r>
              <w:t>Kompetenzstufe</w:t>
            </w:r>
          </w:p>
        </w:tc>
        <w:tc>
          <w:tcPr>
            <w:tcW w:w="6604" w:type="dxa"/>
            <w:tcBorders>
              <w:bottom w:val="single" w:sz="4" w:space="0" w:color="auto"/>
            </w:tcBorders>
          </w:tcPr>
          <w:p w:rsidR="00DC2FA0" w:rsidRDefault="00DC2FA0" w:rsidP="00337876">
            <w:pPr>
              <w:pStyle w:val="IQB-Merkmalswert"/>
            </w:pPr>
            <w:r>
              <w:t>1a</w:t>
            </w:r>
          </w:p>
        </w:tc>
      </w:tr>
    </w:tbl>
    <w:p w:rsidR="00694A63" w:rsidRPr="00694A63" w:rsidRDefault="00694A63" w:rsidP="00694A63">
      <w:pPr>
        <w:pStyle w:val="IQB-Teilaufgabentitel"/>
        <w:rPr>
          <w:b/>
        </w:rPr>
      </w:pPr>
      <w:r w:rsidRPr="00694A63">
        <w:rPr>
          <w:b/>
        </w:rPr>
        <w:t>Aufgabenbezogener Kommentar</w:t>
      </w:r>
    </w:p>
    <w:p w:rsidR="00DC2FA0" w:rsidRPr="00950B66" w:rsidRDefault="00DC2FA0" w:rsidP="00DC2FA0">
      <w:pPr>
        <w:pStyle w:val="IQB-Standard"/>
        <w:rPr>
          <w:sz w:val="22"/>
          <w:szCs w:val="22"/>
        </w:rPr>
      </w:pPr>
      <w:r w:rsidRPr="00950B66">
        <w:rPr>
          <w:sz w:val="22"/>
          <w:szCs w:val="22"/>
        </w:rPr>
        <w:t>Weil in dieser Aufgabe eine Datenreihe interpretiert werden soll, wird sie der Leitidee Daten und Zufall (L5) zugeordnet.</w:t>
      </w:r>
    </w:p>
    <w:p w:rsidR="00DC2FA0" w:rsidRPr="00950B66" w:rsidRDefault="00DC2FA0" w:rsidP="00DC2FA0">
      <w:pPr>
        <w:pStyle w:val="IQB-Standard"/>
        <w:rPr>
          <w:sz w:val="22"/>
          <w:szCs w:val="22"/>
        </w:rPr>
      </w:pPr>
      <w:r w:rsidRPr="00950B66">
        <w:rPr>
          <w:sz w:val="22"/>
          <w:szCs w:val="22"/>
        </w:rPr>
        <w:t>In der Aufgabenstellung sind, getrennt nach Jungen und Mädchen, die Ergebnisse einer Umfrage zu Wettkampfsportarten in tabellarischer Form dargestellt. Die Lernenden sollen aus den beiden Tabellen diejenigen Sportarten entnehmen, die in diesen beiden Gruppen jeweils die höchsten Zustimmungswerte erreicht haben (K4, K5).</w:t>
      </w:r>
    </w:p>
    <w:p w:rsidR="00DC2FA0" w:rsidRPr="00950B66" w:rsidRDefault="00DC2FA0" w:rsidP="00DC2FA0">
      <w:pPr>
        <w:pStyle w:val="IQB-Standard"/>
        <w:rPr>
          <w:sz w:val="22"/>
          <w:szCs w:val="22"/>
        </w:rPr>
      </w:pPr>
      <w:r w:rsidRPr="00950B66">
        <w:rPr>
          <w:sz w:val="22"/>
          <w:szCs w:val="22"/>
        </w:rPr>
        <w:t>Aufgrund der geringen Anforderungen an die genannten Kompetenzen wird diese Aufgabe dem Anforderungsbereich I zugeordnet. Die gesuchten Lösungen lassen sich den gegebenen Tabellen direkt entnehmen.</w:t>
      </w:r>
    </w:p>
    <w:p w:rsidR="00694A63" w:rsidRPr="00694A63" w:rsidRDefault="00694A63" w:rsidP="00694A63">
      <w:pPr>
        <w:pStyle w:val="IQB-Teilaufgabentitel"/>
        <w:rPr>
          <w:b/>
        </w:rPr>
      </w:pPr>
      <w:r w:rsidRPr="00694A63">
        <w:rPr>
          <w:b/>
        </w:rPr>
        <w:t>Anregungen für den Unterricht</w:t>
      </w:r>
    </w:p>
    <w:p w:rsidR="00DC2FA0" w:rsidRPr="00950B66" w:rsidRDefault="00DC2FA0" w:rsidP="00DC2FA0">
      <w:pPr>
        <w:pStyle w:val="IQB-Standard"/>
        <w:rPr>
          <w:sz w:val="22"/>
          <w:szCs w:val="22"/>
        </w:rPr>
      </w:pPr>
      <w:r w:rsidRPr="00950B66">
        <w:rPr>
          <w:sz w:val="22"/>
          <w:szCs w:val="22"/>
        </w:rPr>
        <w:t>Treten bei der Bearbeitung der Aufgabe Schwierigkeiten auf, so kann die Lehrkraft dahingehend reagieren, dass diese oder ähnliche Umfragen in der Klasse selbst durchgeführt werden. Dabei kann selbstredend der Kontext und die Fragestellung zur Umfrage variiert werden. So könnte z.</w:t>
      </w:r>
      <w:r>
        <w:rPr>
          <w:sz w:val="11"/>
          <w:szCs w:val="11"/>
        </w:rPr>
        <w:t> </w:t>
      </w:r>
      <w:r w:rsidRPr="00950B66">
        <w:rPr>
          <w:sz w:val="22"/>
          <w:szCs w:val="22"/>
        </w:rPr>
        <w:t>B. danach gefragt werden, auf welche Sportart sich beide Gruppen, Jungen und Mädchen, aus mathematischer Sicht wohl am besten einigen könnten.</w:t>
      </w:r>
    </w:p>
    <w:p w:rsidR="00DC2FA0" w:rsidRPr="00950B66" w:rsidRDefault="00DC2FA0" w:rsidP="00DC2FA0">
      <w:pPr>
        <w:pStyle w:val="IQB-Standard"/>
        <w:rPr>
          <w:sz w:val="22"/>
          <w:szCs w:val="22"/>
        </w:rPr>
      </w:pPr>
      <w:r w:rsidRPr="00950B66">
        <w:rPr>
          <w:sz w:val="22"/>
          <w:szCs w:val="22"/>
        </w:rPr>
        <w:t xml:space="preserve">Die beiden </w:t>
      </w:r>
      <w:r>
        <w:rPr>
          <w:sz w:val="22"/>
          <w:szCs w:val="22"/>
        </w:rPr>
        <w:t>A</w:t>
      </w:r>
      <w:r w:rsidRPr="00950B66">
        <w:rPr>
          <w:sz w:val="22"/>
          <w:szCs w:val="22"/>
        </w:rPr>
        <w:t>ufgaben</w:t>
      </w:r>
      <w:r>
        <w:rPr>
          <w:sz w:val="22"/>
          <w:szCs w:val="22"/>
        </w:rPr>
        <w:t xml:space="preserve"> am Ende des Absatzes </w:t>
      </w:r>
      <w:r w:rsidRPr="00950B66">
        <w:rPr>
          <w:sz w:val="22"/>
          <w:szCs w:val="22"/>
        </w:rPr>
        <w:t>deuten an, wie über die bloße Entnahme von Daten und deren Interpretation hinaus statistische Daten als Wahrscheinlichkeiten interpretiert werden können. Auch an ein von Schülerinnen und Schülern selbst erstelltes Datenmaterial können diese und ähnliche Fragen gerichtet werden, deren Beantwortung auch die Kompetenz mit Mathematik symbolisch/ formal/ technisch umzugehen fördert. Ein interessanter Aspekt bei allen statistischen Überlegungen könnte der Zusammenhang zwischen Grundgesamtheit und Stichprobengröße sein. Es bietet sich an – auch im Mathematikunterricht – über diesen Aspekt an konkreten Beispielen zu diskutieren. Fragen könnten dabei sein: Für welche Population werden Wahrscheinlichkeitsaussagen gemacht? Wie sollte die Stichprobe gewählt werden und wie groß muss sie sein, damit man überhaupt von Wahrscheinlichkeitsaussagen sprechen kann?</w:t>
      </w:r>
    </w:p>
    <w:p w:rsidR="00DC2FA0" w:rsidRPr="00950B66" w:rsidRDefault="00DC2FA0" w:rsidP="00DC2FA0">
      <w:pPr>
        <w:pStyle w:val="IQB-Standard"/>
        <w:rPr>
          <w:sz w:val="22"/>
          <w:szCs w:val="22"/>
        </w:rPr>
      </w:pPr>
      <w:r w:rsidRPr="00950B66">
        <w:rPr>
          <w:sz w:val="22"/>
          <w:szCs w:val="22"/>
        </w:rPr>
        <w:t xml:space="preserve">Die zweite </w:t>
      </w:r>
      <w:r>
        <w:rPr>
          <w:sz w:val="22"/>
          <w:szCs w:val="22"/>
        </w:rPr>
        <w:t>A</w:t>
      </w:r>
      <w:r w:rsidRPr="00950B66">
        <w:rPr>
          <w:sz w:val="22"/>
          <w:szCs w:val="22"/>
        </w:rPr>
        <w:t>ufgabe macht deutlich, wie auch Begründungsaufgaben, welche die Kompetenz mathematisch zu argumentieren ansprechen, im Zusammenhang mit einem gegebenen Datenmaterial konstruiert werden können. Im Unterricht können Schülerinnen und Schüler ebenfalls dazu angeregt werden, Behauptungen bezogen auf ein Datenmaterial aufzustellen und zu diskutieren.</w:t>
      </w:r>
    </w:p>
    <w:p w:rsidR="00DC2FA0" w:rsidRDefault="00DC2FA0" w:rsidP="00DC2FA0">
      <w:pPr>
        <w:pStyle w:val="IQB-Standard"/>
        <w:rPr>
          <w:sz w:val="22"/>
          <w:szCs w:val="22"/>
        </w:rPr>
      </w:pPr>
      <w:r w:rsidRPr="00950B66">
        <w:rPr>
          <w:sz w:val="22"/>
          <w:szCs w:val="22"/>
        </w:rPr>
        <w:t xml:space="preserve">Die zweite </w:t>
      </w:r>
      <w:r>
        <w:rPr>
          <w:sz w:val="22"/>
          <w:szCs w:val="22"/>
        </w:rPr>
        <w:t>A</w:t>
      </w:r>
      <w:r w:rsidRPr="00950B66">
        <w:rPr>
          <w:sz w:val="22"/>
          <w:szCs w:val="22"/>
        </w:rPr>
        <w:t>ufgabe bietet zudem Anlass, um die Begriffe relative und absolute Häufigkeit anschaulich wieder aufzugreifen. Beide Begriffe sollten in verschiedenen Kontexten hinsichtlich ihrer jeweiligen Bedeutung interpretiert werden. Wann macht es Sinn, die absolute Häufigkeiten zu betrachten? Wann bietet sich der Begriff der relativen Häufigkeit an?</w:t>
      </w:r>
    </w:p>
    <w:p w:rsidR="00DC2FA0" w:rsidRDefault="00DC2FA0" w:rsidP="00DC2FA0">
      <w:pPr>
        <w:pStyle w:val="IQB-Standard"/>
        <w:rPr>
          <w:sz w:val="22"/>
          <w:szCs w:val="22"/>
        </w:rPr>
        <w:sectPr w:rsidR="00DC2FA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DC2FA0" w:rsidTr="00DC2FA0">
        <w:tc>
          <w:tcPr>
            <w:tcW w:w="9628" w:type="dxa"/>
          </w:tcPr>
          <w:p w:rsidR="00DC2FA0" w:rsidRPr="00732A97" w:rsidRDefault="00DC2FA0" w:rsidP="00337876">
            <w:pPr>
              <w:pStyle w:val="IQB-Standard"/>
              <w:rPr>
                <w:b/>
              </w:rPr>
            </w:pPr>
            <w:r w:rsidRPr="00D2488A">
              <w:rPr>
                <w:noProof/>
              </w:rPr>
              <w:lastRenderedPageBreak/>
              <w:drawing>
                <wp:inline distT="0" distB="0" distL="0" distR="0">
                  <wp:extent cx="4276725" cy="600075"/>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pic:cNvPicPr>
                            <a:picLocks noChangeAspect="1" noChangeArrowheads="1"/>
                          </pic:cNvPicPr>
                        </pic:nvPicPr>
                        <pic:blipFill>
                          <a:blip r:embed="rId14">
                            <a:extLst>
                              <a:ext uri="{28A0092B-C50C-407E-A947-70E740481C1C}">
                                <a14:useLocalDpi xmlns:a14="http://schemas.microsoft.com/office/drawing/2010/main" val="0"/>
                              </a:ext>
                            </a:extLst>
                          </a:blip>
                          <a:srcRect b="58331"/>
                          <a:stretch>
                            <a:fillRect/>
                          </a:stretch>
                        </pic:blipFill>
                        <pic:spPr bwMode="auto">
                          <a:xfrm>
                            <a:off x="0" y="0"/>
                            <a:ext cx="4276725" cy="600075"/>
                          </a:xfrm>
                          <a:prstGeom prst="rect">
                            <a:avLst/>
                          </a:prstGeom>
                          <a:noFill/>
                          <a:ln>
                            <a:noFill/>
                          </a:ln>
                        </pic:spPr>
                      </pic:pic>
                    </a:graphicData>
                  </a:graphic>
                </wp:inline>
              </w:drawing>
            </w:r>
          </w:p>
          <w:p w:rsidR="00DC2FA0" w:rsidRDefault="00DC2FA0" w:rsidP="00DC2FA0">
            <w:pPr>
              <w:pStyle w:val="IQB-Teilaufgabensubtitel"/>
              <w:spacing w:before="120"/>
            </w:pPr>
            <w:r>
              <w:t>Auswertung</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1133"/>
              <w:gridCol w:w="7937"/>
            </w:tblGrid>
            <w:tr w:rsidR="00DC2FA0" w:rsidTr="00337876">
              <w:tc>
                <w:tcPr>
                  <w:tcW w:w="1133" w:type="dxa"/>
                  <w:tcBorders>
                    <w:top w:val="single" w:sz="4" w:space="0" w:color="auto"/>
                    <w:left w:val="single" w:sz="4" w:space="0" w:color="auto"/>
                    <w:bottom w:val="single" w:sz="4" w:space="0" w:color="auto"/>
                    <w:right w:val="dotted" w:sz="4" w:space="0" w:color="auto"/>
                  </w:tcBorders>
                  <w:vAlign w:val="center"/>
                </w:tcPr>
                <w:p w:rsidR="00DC2FA0" w:rsidRDefault="00DC2FA0" w:rsidP="00337876">
                  <w:pPr>
                    <w:pStyle w:val="IQB-RSCodeValue"/>
                  </w:pPr>
                  <w:r>
                    <w:t>RICHTIG</w:t>
                  </w:r>
                </w:p>
              </w:tc>
              <w:tc>
                <w:tcPr>
                  <w:tcW w:w="7937" w:type="dxa"/>
                  <w:tcBorders>
                    <w:top w:val="single" w:sz="4" w:space="0" w:color="auto"/>
                    <w:left w:val="dotted" w:sz="4" w:space="0" w:color="auto"/>
                    <w:bottom w:val="single" w:sz="4" w:space="0" w:color="auto"/>
                    <w:right w:val="single" w:sz="4" w:space="0" w:color="auto"/>
                  </w:tcBorders>
                </w:tcPr>
                <w:p w:rsidR="00DC2FA0" w:rsidRDefault="00DC2FA0" w:rsidP="00337876">
                  <w:pPr>
                    <w:pStyle w:val="IQB-RSNormal"/>
                  </w:pPr>
                  <w:r>
                    <w:t>3. Kästchen wurde angekreuzt</w:t>
                  </w:r>
                </w:p>
              </w:tc>
            </w:tr>
          </w:tbl>
          <w:p w:rsidR="00DC2FA0" w:rsidRDefault="00DC2FA0" w:rsidP="00337876">
            <w:pPr>
              <w:pStyle w:val="IQB-Teilaufgabensubtitel"/>
            </w:pPr>
            <w:r>
              <w:t>Merkmale</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DC2FA0" w:rsidTr="00337876">
              <w:tc>
                <w:tcPr>
                  <w:tcW w:w="2466" w:type="dxa"/>
                  <w:tcBorders>
                    <w:top w:val="single" w:sz="4" w:space="0" w:color="auto"/>
                    <w:left w:val="single" w:sz="4" w:space="0" w:color="auto"/>
                    <w:bottom w:val="dotted" w:sz="4" w:space="0" w:color="auto"/>
                    <w:right w:val="dotted" w:sz="4" w:space="0" w:color="auto"/>
                  </w:tcBorders>
                  <w:vAlign w:val="center"/>
                </w:tcPr>
                <w:p w:rsidR="00DC2FA0" w:rsidRDefault="00DC2FA0" w:rsidP="00337876">
                  <w:pPr>
                    <w:pStyle w:val="IQB-Merkmal"/>
                  </w:pPr>
                  <w:r>
                    <w:t>Leitidee</w:t>
                  </w:r>
                </w:p>
              </w:tc>
              <w:tc>
                <w:tcPr>
                  <w:tcW w:w="6604" w:type="dxa"/>
                  <w:tcBorders>
                    <w:top w:val="single" w:sz="4" w:space="0" w:color="auto"/>
                    <w:left w:val="dotted" w:sz="4" w:space="0" w:color="auto"/>
                    <w:bottom w:val="dotted" w:sz="4" w:space="0" w:color="auto"/>
                    <w:right w:val="single" w:sz="4" w:space="0" w:color="auto"/>
                  </w:tcBorders>
                </w:tcPr>
                <w:p w:rsidR="00DC2FA0" w:rsidRDefault="00DC2FA0" w:rsidP="00337876">
                  <w:pPr>
                    <w:pStyle w:val="IQB-Merkmalswert"/>
                  </w:pPr>
                  <w:r>
                    <w:t>5. Daten und Zufall</w:t>
                  </w:r>
                </w:p>
              </w:tc>
            </w:tr>
            <w:tr w:rsidR="00DC2FA0" w:rsidTr="00337876">
              <w:tc>
                <w:tcPr>
                  <w:tcW w:w="2466" w:type="dxa"/>
                  <w:tcBorders>
                    <w:top w:val="dotted" w:sz="4" w:space="0" w:color="auto"/>
                    <w:left w:val="single" w:sz="4" w:space="0" w:color="auto"/>
                    <w:bottom w:val="dotted" w:sz="4" w:space="0" w:color="auto"/>
                    <w:right w:val="dotted" w:sz="4" w:space="0" w:color="auto"/>
                  </w:tcBorders>
                  <w:vAlign w:val="center"/>
                </w:tcPr>
                <w:p w:rsidR="00DC2FA0" w:rsidRDefault="00DC2FA0" w:rsidP="00337876">
                  <w:pPr>
                    <w:pStyle w:val="IQB-Merkmal"/>
                  </w:pPr>
                  <w:r>
                    <w:t>Allgemeine Kompetenz</w:t>
                  </w:r>
                </w:p>
              </w:tc>
              <w:tc>
                <w:tcPr>
                  <w:tcW w:w="6604" w:type="dxa"/>
                  <w:tcBorders>
                    <w:top w:val="dotted" w:sz="4" w:space="0" w:color="auto"/>
                    <w:left w:val="dotted" w:sz="4" w:space="0" w:color="auto"/>
                    <w:bottom w:val="dotted" w:sz="4" w:space="0" w:color="auto"/>
                    <w:right w:val="single" w:sz="4" w:space="0" w:color="auto"/>
                  </w:tcBorders>
                </w:tcPr>
                <w:p w:rsidR="00DC2FA0" w:rsidRDefault="00DC2FA0" w:rsidP="00337876">
                  <w:pPr>
                    <w:pStyle w:val="IQB-Merkmalswert"/>
                  </w:pPr>
                  <w:r>
                    <w:t>Mathematisches Modellieren (K3),</w:t>
                  </w:r>
                </w:p>
                <w:p w:rsidR="00DC2FA0" w:rsidRDefault="00DC2FA0" w:rsidP="00337876">
                  <w:pPr>
                    <w:pStyle w:val="IQB-Merkmalswert"/>
                  </w:pPr>
                  <w:r>
                    <w:t>Mit Mathematik symbolisch/ formal/ technisch umgehen (K5)</w:t>
                  </w:r>
                </w:p>
              </w:tc>
            </w:tr>
            <w:tr w:rsidR="00DC2FA0" w:rsidTr="00337876">
              <w:tc>
                <w:tcPr>
                  <w:tcW w:w="2466" w:type="dxa"/>
                  <w:tcBorders>
                    <w:top w:val="dotted" w:sz="4" w:space="0" w:color="auto"/>
                    <w:left w:val="single" w:sz="4" w:space="0" w:color="auto"/>
                    <w:bottom w:val="dotted" w:sz="4" w:space="0" w:color="auto"/>
                    <w:right w:val="dotted" w:sz="4" w:space="0" w:color="auto"/>
                  </w:tcBorders>
                  <w:vAlign w:val="center"/>
                </w:tcPr>
                <w:p w:rsidR="00DC2FA0" w:rsidRDefault="00DC2FA0" w:rsidP="00337876">
                  <w:pPr>
                    <w:pStyle w:val="IQB-Merkmal"/>
                  </w:pPr>
                  <w:r>
                    <w:t>Anforderungsbereich</w:t>
                  </w:r>
                </w:p>
              </w:tc>
              <w:tc>
                <w:tcPr>
                  <w:tcW w:w="6604" w:type="dxa"/>
                  <w:tcBorders>
                    <w:top w:val="dotted" w:sz="4" w:space="0" w:color="auto"/>
                    <w:left w:val="dotted" w:sz="4" w:space="0" w:color="auto"/>
                    <w:bottom w:val="dotted" w:sz="4" w:space="0" w:color="auto"/>
                    <w:right w:val="single" w:sz="4" w:space="0" w:color="auto"/>
                  </w:tcBorders>
                </w:tcPr>
                <w:p w:rsidR="00DC2FA0" w:rsidRDefault="00DC2FA0" w:rsidP="00337876">
                  <w:pPr>
                    <w:pStyle w:val="IQB-Merkmalswert"/>
                  </w:pPr>
                  <w:r>
                    <w:t>II</w:t>
                  </w:r>
                </w:p>
              </w:tc>
            </w:tr>
            <w:tr w:rsidR="00DC2FA0" w:rsidTr="00337876">
              <w:tc>
                <w:tcPr>
                  <w:tcW w:w="2466" w:type="dxa"/>
                  <w:tcBorders>
                    <w:top w:val="dotted" w:sz="4" w:space="0" w:color="auto"/>
                    <w:left w:val="single" w:sz="4" w:space="0" w:color="auto"/>
                    <w:bottom w:val="single" w:sz="4" w:space="0" w:color="auto"/>
                    <w:right w:val="dotted" w:sz="4" w:space="0" w:color="auto"/>
                  </w:tcBorders>
                  <w:vAlign w:val="center"/>
                </w:tcPr>
                <w:p w:rsidR="00DC2FA0" w:rsidRDefault="00DC2FA0" w:rsidP="00337876">
                  <w:pPr>
                    <w:pStyle w:val="IQB-Merkmal"/>
                  </w:pPr>
                  <w:r>
                    <w:t>Kompetenzstufe</w:t>
                  </w:r>
                </w:p>
              </w:tc>
              <w:tc>
                <w:tcPr>
                  <w:tcW w:w="6604" w:type="dxa"/>
                  <w:tcBorders>
                    <w:top w:val="dotted" w:sz="4" w:space="0" w:color="auto"/>
                    <w:left w:val="dotted" w:sz="4" w:space="0" w:color="auto"/>
                    <w:bottom w:val="single" w:sz="4" w:space="0" w:color="auto"/>
                    <w:right w:val="single" w:sz="4" w:space="0" w:color="auto"/>
                  </w:tcBorders>
                </w:tcPr>
                <w:p w:rsidR="00DC2FA0" w:rsidRDefault="00DC2FA0" w:rsidP="00337876">
                  <w:pPr>
                    <w:pStyle w:val="IQB-Merkmalswert"/>
                  </w:pPr>
                  <w:r>
                    <w:t>3</w:t>
                  </w:r>
                </w:p>
              </w:tc>
            </w:tr>
          </w:tbl>
          <w:p w:rsidR="00DC2FA0" w:rsidRPr="00732A97" w:rsidRDefault="00DC2FA0" w:rsidP="00337876">
            <w:pPr>
              <w:pStyle w:val="IQB-Standard"/>
              <w:rPr>
                <w:b/>
              </w:rPr>
            </w:pPr>
          </w:p>
        </w:tc>
      </w:tr>
    </w:tbl>
    <w:p w:rsidR="00DC2FA0" w:rsidRDefault="00DC2FA0" w:rsidP="00DC2FA0">
      <w:pPr>
        <w:pStyle w:val="IQB-Standard"/>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DC2FA0" w:rsidTr="00337876">
        <w:tc>
          <w:tcPr>
            <w:tcW w:w="9778" w:type="dxa"/>
          </w:tcPr>
          <w:p w:rsidR="00DC2FA0" w:rsidRDefault="00DC2FA0" w:rsidP="00DC2FA0">
            <w:pPr>
              <w:pStyle w:val="IQB-Teilaufgabengrafik"/>
            </w:pPr>
            <w:r w:rsidRPr="00D2488A">
              <w:rPr>
                <w:noProof/>
              </w:rPr>
              <w:drawing>
                <wp:inline distT="0" distB="0" distL="0" distR="0">
                  <wp:extent cx="4305300" cy="2085975"/>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05300" cy="2085975"/>
                          </a:xfrm>
                          <a:prstGeom prst="rect">
                            <a:avLst/>
                          </a:prstGeom>
                          <a:noFill/>
                          <a:ln>
                            <a:noFill/>
                          </a:ln>
                        </pic:spPr>
                      </pic:pic>
                    </a:graphicData>
                  </a:graphic>
                </wp:inline>
              </w:drawing>
            </w:r>
          </w:p>
          <w:p w:rsidR="00DC2FA0" w:rsidRDefault="00DC2FA0" w:rsidP="00DC2FA0">
            <w:pPr>
              <w:pStyle w:val="IQB-Teilaufgabensubtitel"/>
              <w:spacing w:before="120"/>
            </w:pPr>
            <w:r>
              <w:t>Auswertung</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1133"/>
              <w:gridCol w:w="7937"/>
            </w:tblGrid>
            <w:tr w:rsidR="00DC2FA0" w:rsidTr="00337876">
              <w:tc>
                <w:tcPr>
                  <w:tcW w:w="1133" w:type="dxa"/>
                  <w:tcBorders>
                    <w:top w:val="single" w:sz="4" w:space="0" w:color="auto"/>
                    <w:left w:val="single" w:sz="4" w:space="0" w:color="auto"/>
                    <w:bottom w:val="single" w:sz="4" w:space="0" w:color="auto"/>
                    <w:right w:val="dotted" w:sz="4" w:space="0" w:color="auto"/>
                  </w:tcBorders>
                  <w:vAlign w:val="center"/>
                </w:tcPr>
                <w:p w:rsidR="00DC2FA0" w:rsidRDefault="00DC2FA0" w:rsidP="00337876">
                  <w:pPr>
                    <w:pStyle w:val="IQB-RSCodeValue"/>
                  </w:pPr>
                  <w:r>
                    <w:t>RICHTIG</w:t>
                  </w:r>
                </w:p>
              </w:tc>
              <w:tc>
                <w:tcPr>
                  <w:tcW w:w="7937" w:type="dxa"/>
                  <w:tcBorders>
                    <w:top w:val="single" w:sz="4" w:space="0" w:color="auto"/>
                    <w:left w:val="dotted" w:sz="4" w:space="0" w:color="auto"/>
                    <w:bottom w:val="single" w:sz="4" w:space="0" w:color="auto"/>
                    <w:right w:val="single" w:sz="4" w:space="0" w:color="auto"/>
                  </w:tcBorders>
                </w:tcPr>
                <w:p w:rsidR="00DC2FA0" w:rsidRPr="00DC2FA0" w:rsidRDefault="00DC2FA0" w:rsidP="00337876">
                  <w:pPr>
                    <w:pStyle w:val="IQB-RSNormal"/>
                  </w:pPr>
                  <w:r w:rsidRPr="00DC2FA0">
                    <w:t>Nein</w:t>
                  </w:r>
                </w:p>
                <w:p w:rsidR="00DC2FA0" w:rsidRPr="00DC2FA0" w:rsidRDefault="00DC2FA0" w:rsidP="00337876">
                  <w:pPr>
                    <w:rPr>
                      <w:rFonts w:ascii="Arial" w:hAnsi="Arial" w:cs="Arial"/>
                      <w:sz w:val="18"/>
                      <w:szCs w:val="22"/>
                    </w:rPr>
                  </w:pPr>
                </w:p>
                <w:p w:rsidR="00DC2FA0" w:rsidRPr="00DC2FA0" w:rsidRDefault="00DC2FA0" w:rsidP="00337876">
                  <w:pPr>
                    <w:pStyle w:val="IQB-RSNormal"/>
                  </w:pPr>
                  <w:r w:rsidRPr="00DC2FA0">
                    <w:t>UND</w:t>
                  </w:r>
                </w:p>
                <w:p w:rsidR="00DC2FA0" w:rsidRPr="00DC2FA0" w:rsidRDefault="00DC2FA0" w:rsidP="00337876">
                  <w:pPr>
                    <w:rPr>
                      <w:rFonts w:ascii="Arial" w:hAnsi="Arial" w:cs="Arial"/>
                      <w:sz w:val="18"/>
                      <w:szCs w:val="22"/>
                    </w:rPr>
                  </w:pPr>
                </w:p>
                <w:p w:rsidR="00DC2FA0" w:rsidRPr="00DC2FA0" w:rsidRDefault="00DC2FA0" w:rsidP="00337876">
                  <w:pPr>
                    <w:pStyle w:val="IQB-RSNormal"/>
                  </w:pPr>
                  <w:r w:rsidRPr="00DC2FA0">
                    <w:t>Begründung unter Bezug auf relative Häufigkeiten, dabei muss der Begriff nicht genannt werden.</w:t>
                  </w:r>
                </w:p>
                <w:p w:rsidR="00DC2FA0" w:rsidRPr="00DC2FA0" w:rsidRDefault="00DC2FA0" w:rsidP="00337876">
                  <w:pPr>
                    <w:pStyle w:val="IQB-RSNormal"/>
                  </w:pPr>
                  <w:r w:rsidRPr="00DC2FA0">
                    <w:t>[Anm.: Eine konkrete Berechnung der relativen Häufigkeit z.</w:t>
                  </w:r>
                  <w:r>
                    <w:t xml:space="preserve"> </w:t>
                  </w:r>
                  <w:r w:rsidRPr="00DC2FA0">
                    <w:t>B. als Prozentsatz ist ebenfalls richtig.]</w:t>
                  </w:r>
                </w:p>
                <w:p w:rsidR="00DC2FA0" w:rsidRPr="00DC2FA0" w:rsidRDefault="00DC2FA0" w:rsidP="00337876">
                  <w:pPr>
                    <w:rPr>
                      <w:rFonts w:ascii="Arial" w:hAnsi="Arial" w:cs="Arial"/>
                      <w:sz w:val="18"/>
                      <w:szCs w:val="22"/>
                    </w:rPr>
                  </w:pPr>
                </w:p>
                <w:p w:rsidR="00DC2FA0" w:rsidRPr="00DC2FA0" w:rsidRDefault="00DC2FA0" w:rsidP="00337876">
                  <w:pPr>
                    <w:pStyle w:val="IQB-RSNormal"/>
                  </w:pPr>
                  <w:r w:rsidRPr="00DC2FA0">
                    <w:t>Beispiel(e)</w:t>
                  </w:r>
                </w:p>
                <w:p w:rsidR="00DC2FA0" w:rsidRPr="00DC2FA0" w:rsidRDefault="00DC2FA0" w:rsidP="00337876">
                  <w:pPr>
                    <w:pStyle w:val="IQB-RSExample"/>
                    <w:rPr>
                      <w:rFonts w:cs="Arial"/>
                      <w:szCs w:val="22"/>
                    </w:rPr>
                  </w:pPr>
                  <w:r w:rsidRPr="00DC2FA0">
                    <w:rPr>
                      <w:rFonts w:cs="Arial"/>
                      <w:szCs w:val="22"/>
                    </w:rPr>
                    <w:t xml:space="preserve">Es haben zwar mehr Mädchen als Jungen für Fußball gestimmt, aber der Anteil ist geringer: </w:t>
                  </w:r>
                  <w:r w:rsidRPr="00DC2FA0">
                    <w:rPr>
                      <w:rFonts w:cs="Arial"/>
                      <w:position w:val="-20"/>
                      <w:szCs w:val="22"/>
                    </w:rPr>
                    <w:object w:dxaOrig="740" w:dyaOrig="4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36pt;height:24pt" o:ole="">
                        <v:imagedata r:id="rId16" o:title=""/>
                      </v:shape>
                      <o:OLEObject Type="Embed" ProgID="Equation.DSMT4" ShapeID="_x0000_i1045" DrawAspect="Content" ObjectID="_1810466792" r:id="rId17"/>
                    </w:object>
                  </w:r>
                </w:p>
                <w:p w:rsidR="00DC2FA0" w:rsidRPr="00DC2FA0" w:rsidRDefault="00DC2FA0" w:rsidP="00337876">
                  <w:pPr>
                    <w:pStyle w:val="IQB-RSExample"/>
                    <w:rPr>
                      <w:rFonts w:cs="Arial"/>
                      <w:szCs w:val="22"/>
                    </w:rPr>
                  </w:pPr>
                  <w:r w:rsidRPr="00DC2FA0">
                    <w:rPr>
                      <w:rFonts w:cs="Arial"/>
                      <w:szCs w:val="22"/>
                    </w:rPr>
                    <w:t>Es haben sich 44 % der Jungen für Fußball entschieden, aber nur 40 % der Mädchen.</w:t>
                  </w:r>
                </w:p>
                <w:p w:rsidR="00DC2FA0" w:rsidRPr="00DC2FA0" w:rsidRDefault="00DC2FA0" w:rsidP="00337876">
                  <w:pPr>
                    <w:pStyle w:val="IQB-RSExample"/>
                    <w:rPr>
                      <w:rFonts w:cs="Arial"/>
                      <w:szCs w:val="22"/>
                    </w:rPr>
                  </w:pPr>
                  <w:r w:rsidRPr="00DC2FA0">
                    <w:rPr>
                      <w:rFonts w:cs="Arial"/>
                      <w:szCs w:val="22"/>
                    </w:rPr>
                    <w:t>31 von 70 ist ein größerer Anteil als 32 von 80.</w:t>
                  </w:r>
                </w:p>
                <w:p w:rsidR="00DC2FA0" w:rsidRPr="00DC2FA0" w:rsidRDefault="00DC2FA0" w:rsidP="00337876">
                  <w:pPr>
                    <w:pStyle w:val="IQB-RSExample"/>
                    <w:rPr>
                      <w:rFonts w:cs="Arial"/>
                      <w:szCs w:val="22"/>
                    </w:rPr>
                  </w:pPr>
                  <w:r w:rsidRPr="00DC2FA0">
                    <w:rPr>
                      <w:rFonts w:cs="Arial"/>
                      <w:szCs w:val="22"/>
                    </w:rPr>
                    <w:t>Grenzfall</w:t>
                  </w:r>
                </w:p>
                <w:p w:rsidR="00DC2FA0" w:rsidRPr="00DC2FA0" w:rsidRDefault="00DC2FA0" w:rsidP="00337876">
                  <w:pPr>
                    <w:rPr>
                      <w:rFonts w:ascii="Arial" w:hAnsi="Arial" w:cs="Arial"/>
                      <w:sz w:val="18"/>
                      <w:szCs w:val="22"/>
                    </w:rPr>
                  </w:pPr>
                  <w:r w:rsidRPr="00DC2FA0">
                    <w:rPr>
                      <w:rFonts w:ascii="Arial" w:hAnsi="Arial" w:cs="Arial"/>
                      <w:sz w:val="18"/>
                      <w:szCs w:val="22"/>
                    </w:rPr>
                    <w:t>Es sind mehr Mädchen als Jungs.</w:t>
                  </w:r>
                  <w:r>
                    <w:rPr>
                      <w:rFonts w:ascii="Arial" w:hAnsi="Arial" w:cs="Arial"/>
                      <w:sz w:val="18"/>
                      <w:szCs w:val="22"/>
                    </w:rPr>
                    <w:t xml:space="preserve"> </w:t>
                  </w:r>
                  <w:r w:rsidRPr="00DC2FA0">
                    <w:rPr>
                      <w:rFonts w:ascii="Arial" w:hAnsi="Arial" w:cs="Arial"/>
                      <w:sz w:val="18"/>
                      <w:szCs w:val="22"/>
                    </w:rPr>
                    <w:t>ODER</w:t>
                  </w:r>
                  <w:r>
                    <w:rPr>
                      <w:rFonts w:ascii="Arial" w:hAnsi="Arial" w:cs="Arial"/>
                      <w:sz w:val="18"/>
                      <w:szCs w:val="22"/>
                    </w:rPr>
                    <w:t xml:space="preserve"> </w:t>
                  </w:r>
                  <w:r w:rsidRPr="00DC2FA0">
                    <w:rPr>
                      <w:rFonts w:ascii="Arial" w:hAnsi="Arial" w:cs="Arial"/>
                      <w:sz w:val="18"/>
                      <w:szCs w:val="22"/>
                    </w:rPr>
                    <w:t>Es sind weniger Jungs als Mädchen. (in Verbindung mit dem richtig gesetzten Kreuz)</w:t>
                  </w:r>
                </w:p>
              </w:tc>
            </w:tr>
          </w:tbl>
          <w:p w:rsidR="00DC2FA0" w:rsidRDefault="00DC2FA0" w:rsidP="00DC2FA0">
            <w:pPr>
              <w:pStyle w:val="IQB-Teilaufgabensubtitel"/>
              <w:spacing w:before="120"/>
            </w:pPr>
            <w:r>
              <w:t>Merkmale</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5"/>
              <w:gridCol w:w="6595"/>
            </w:tblGrid>
            <w:tr w:rsidR="00DC2FA0" w:rsidTr="00337876">
              <w:tc>
                <w:tcPr>
                  <w:tcW w:w="2465" w:type="dxa"/>
                  <w:tcBorders>
                    <w:top w:val="single" w:sz="4" w:space="0" w:color="auto"/>
                    <w:left w:val="single" w:sz="4" w:space="0" w:color="auto"/>
                    <w:bottom w:val="dotted" w:sz="4" w:space="0" w:color="auto"/>
                    <w:right w:val="dotted" w:sz="4" w:space="0" w:color="auto"/>
                  </w:tcBorders>
                  <w:vAlign w:val="center"/>
                </w:tcPr>
                <w:p w:rsidR="00DC2FA0" w:rsidRDefault="00DC2FA0" w:rsidP="00337876">
                  <w:pPr>
                    <w:pStyle w:val="IQB-Merkmal"/>
                  </w:pPr>
                  <w:r>
                    <w:t>Leitidee</w:t>
                  </w:r>
                </w:p>
              </w:tc>
              <w:tc>
                <w:tcPr>
                  <w:tcW w:w="6595" w:type="dxa"/>
                  <w:tcBorders>
                    <w:top w:val="single" w:sz="4" w:space="0" w:color="auto"/>
                    <w:left w:val="dotted" w:sz="4" w:space="0" w:color="auto"/>
                    <w:bottom w:val="dotted" w:sz="4" w:space="0" w:color="auto"/>
                    <w:right w:val="single" w:sz="4" w:space="0" w:color="auto"/>
                  </w:tcBorders>
                </w:tcPr>
                <w:p w:rsidR="00DC2FA0" w:rsidRDefault="00DC2FA0" w:rsidP="00337876">
                  <w:pPr>
                    <w:pStyle w:val="IQB-Merkmalswert"/>
                  </w:pPr>
                  <w:r>
                    <w:t>5. Daten und Zufall</w:t>
                  </w:r>
                </w:p>
              </w:tc>
            </w:tr>
            <w:tr w:rsidR="00DC2FA0" w:rsidTr="00337876">
              <w:tc>
                <w:tcPr>
                  <w:tcW w:w="2465" w:type="dxa"/>
                  <w:tcBorders>
                    <w:top w:val="dotted" w:sz="4" w:space="0" w:color="auto"/>
                    <w:left w:val="single" w:sz="4" w:space="0" w:color="auto"/>
                    <w:bottom w:val="dotted" w:sz="4" w:space="0" w:color="auto"/>
                    <w:right w:val="dotted" w:sz="4" w:space="0" w:color="auto"/>
                  </w:tcBorders>
                  <w:vAlign w:val="center"/>
                </w:tcPr>
                <w:p w:rsidR="00DC2FA0" w:rsidRDefault="00DC2FA0" w:rsidP="00337876">
                  <w:pPr>
                    <w:pStyle w:val="IQB-Merkmal"/>
                  </w:pPr>
                  <w:r>
                    <w:t>Allgemeine Kompetenz</w:t>
                  </w:r>
                </w:p>
              </w:tc>
              <w:tc>
                <w:tcPr>
                  <w:tcW w:w="6595" w:type="dxa"/>
                  <w:tcBorders>
                    <w:top w:val="dotted" w:sz="4" w:space="0" w:color="auto"/>
                    <w:left w:val="dotted" w:sz="4" w:space="0" w:color="auto"/>
                    <w:bottom w:val="dotted" w:sz="4" w:space="0" w:color="auto"/>
                    <w:right w:val="single" w:sz="4" w:space="0" w:color="auto"/>
                  </w:tcBorders>
                </w:tcPr>
                <w:p w:rsidR="00DC2FA0" w:rsidRDefault="00DC2FA0" w:rsidP="00337876">
                  <w:pPr>
                    <w:pStyle w:val="IQB-Merkmalswert"/>
                  </w:pPr>
                  <w:r>
                    <w:t>Mathematisches Argumentieren (K1),</w:t>
                  </w:r>
                </w:p>
                <w:p w:rsidR="00DC2FA0" w:rsidRDefault="00DC2FA0" w:rsidP="00337876">
                  <w:pPr>
                    <w:pStyle w:val="IQB-Merkmalswert"/>
                  </w:pPr>
                  <w:r>
                    <w:t>Mathematisches Modellieren (K3)</w:t>
                  </w:r>
                </w:p>
              </w:tc>
            </w:tr>
            <w:tr w:rsidR="00DC2FA0" w:rsidTr="00337876">
              <w:tc>
                <w:tcPr>
                  <w:tcW w:w="2465" w:type="dxa"/>
                  <w:tcBorders>
                    <w:top w:val="dotted" w:sz="4" w:space="0" w:color="auto"/>
                    <w:left w:val="single" w:sz="4" w:space="0" w:color="auto"/>
                    <w:bottom w:val="dotted" w:sz="4" w:space="0" w:color="auto"/>
                    <w:right w:val="dotted" w:sz="4" w:space="0" w:color="auto"/>
                  </w:tcBorders>
                  <w:vAlign w:val="center"/>
                </w:tcPr>
                <w:p w:rsidR="00DC2FA0" w:rsidRDefault="00DC2FA0" w:rsidP="00337876">
                  <w:pPr>
                    <w:pStyle w:val="IQB-Merkmal"/>
                  </w:pPr>
                  <w:r>
                    <w:t>Anforderungsbereich</w:t>
                  </w:r>
                </w:p>
              </w:tc>
              <w:tc>
                <w:tcPr>
                  <w:tcW w:w="6595" w:type="dxa"/>
                  <w:tcBorders>
                    <w:top w:val="dotted" w:sz="4" w:space="0" w:color="auto"/>
                    <w:left w:val="dotted" w:sz="4" w:space="0" w:color="auto"/>
                    <w:bottom w:val="dotted" w:sz="4" w:space="0" w:color="auto"/>
                    <w:right w:val="single" w:sz="4" w:space="0" w:color="auto"/>
                  </w:tcBorders>
                </w:tcPr>
                <w:p w:rsidR="00DC2FA0" w:rsidRDefault="00DC2FA0" w:rsidP="00337876">
                  <w:pPr>
                    <w:pStyle w:val="IQB-Merkmalswert"/>
                  </w:pPr>
                  <w:r>
                    <w:t>II</w:t>
                  </w:r>
                </w:p>
              </w:tc>
            </w:tr>
            <w:tr w:rsidR="00DC2FA0" w:rsidTr="00337876">
              <w:tc>
                <w:tcPr>
                  <w:tcW w:w="2465" w:type="dxa"/>
                  <w:tcBorders>
                    <w:top w:val="dotted" w:sz="4" w:space="0" w:color="auto"/>
                    <w:left w:val="single" w:sz="4" w:space="0" w:color="auto"/>
                    <w:bottom w:val="single" w:sz="4" w:space="0" w:color="auto"/>
                    <w:right w:val="dotted" w:sz="4" w:space="0" w:color="auto"/>
                  </w:tcBorders>
                  <w:vAlign w:val="center"/>
                </w:tcPr>
                <w:p w:rsidR="00DC2FA0" w:rsidRDefault="00DC2FA0" w:rsidP="00337876">
                  <w:pPr>
                    <w:pStyle w:val="IQB-Merkmal"/>
                  </w:pPr>
                  <w:r>
                    <w:t>Kompetenzstufe</w:t>
                  </w:r>
                </w:p>
              </w:tc>
              <w:tc>
                <w:tcPr>
                  <w:tcW w:w="6595" w:type="dxa"/>
                  <w:tcBorders>
                    <w:top w:val="dotted" w:sz="4" w:space="0" w:color="auto"/>
                    <w:left w:val="dotted" w:sz="4" w:space="0" w:color="auto"/>
                    <w:bottom w:val="single" w:sz="4" w:space="0" w:color="auto"/>
                    <w:right w:val="single" w:sz="4" w:space="0" w:color="auto"/>
                  </w:tcBorders>
                </w:tcPr>
                <w:p w:rsidR="00DC2FA0" w:rsidRDefault="00DC2FA0" w:rsidP="00337876">
                  <w:pPr>
                    <w:pStyle w:val="IQB-Merkmalswert"/>
                  </w:pPr>
                  <w:r>
                    <w:t>3</w:t>
                  </w:r>
                </w:p>
              </w:tc>
            </w:tr>
          </w:tbl>
          <w:p w:rsidR="00DC2FA0" w:rsidRDefault="00DC2FA0" w:rsidP="00337876">
            <w:pPr>
              <w:pStyle w:val="IQB-Teilaufgabengrafik"/>
            </w:pPr>
          </w:p>
        </w:tc>
      </w:tr>
    </w:tbl>
    <w:p w:rsidR="00694A63" w:rsidRPr="00DC2FA0" w:rsidRDefault="00694A63" w:rsidP="00A20151">
      <w:pPr>
        <w:pStyle w:val="IQB-Standard"/>
        <w:rPr>
          <w:sz w:val="18"/>
          <w:szCs w:val="22"/>
        </w:rPr>
      </w:pPr>
      <w:bookmarkStart w:id="0" w:name="_GoBack"/>
      <w:bookmarkEnd w:id="0"/>
    </w:p>
    <w:sectPr w:rsidR="00694A63" w:rsidRPr="00DC2FA0" w:rsidSect="00DB65DC">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8363D389-725C-4CBF-A875-B6F83465BFE4}"/>
    <w:embedBold r:id="rId2" w:fontKey="{66D6F22E-9AA4-4727-A5CD-D5BE540DE16F}"/>
    <w:embedBoldItalic r:id="rId3" w:fontKey="{E1A37CB9-9EA5-4002-8726-2ABD6E8DCB49}"/>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C2FA0"/>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o:shapelayout v:ext="edit">
      <o:idmap v:ext="edit" data="1"/>
    </o:shapelayout>
  </w:shapeDefaults>
  <w:decimalSymbol w:val=","/>
  <w:listSeparator w:val=";"/>
  <w14:docId w14:val="4990D67C"/>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4.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emf"/><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147939-B888-46B6-BBA6-F29E9A26C9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524</Words>
  <Characters>3503</Characters>
  <Application>Microsoft Office Word</Application>
  <DocSecurity>0</DocSecurity>
  <Lines>437</Lines>
  <Paragraphs>335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2025-06-03T12:40:00Z</dcterms:created>
  <dcterms:modified xsi:type="dcterms:W3CDTF">2025-06-03T12:40:00Z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